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AA9E" w14:textId="77777777" w:rsidR="00430D49" w:rsidRDefault="00080BF1">
      <w:pPr>
        <w:spacing w:after="51" w:line="259" w:lineRule="auto"/>
        <w:ind w:left="53" w:firstLine="0"/>
        <w:jc w:val="center"/>
      </w:pPr>
      <w:r>
        <w:rPr>
          <w:noProof/>
        </w:rPr>
        <w:drawing>
          <wp:inline distT="0" distB="0" distL="0" distR="0" wp14:anchorId="2BE84AD3" wp14:editId="098B48D0">
            <wp:extent cx="2708021" cy="697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2708021" cy="697865"/>
                    </a:xfrm>
                    <a:prstGeom prst="rect">
                      <a:avLst/>
                    </a:prstGeom>
                  </pic:spPr>
                </pic:pic>
              </a:graphicData>
            </a:graphic>
          </wp:inline>
        </w:drawing>
      </w:r>
      <w:r>
        <w:t xml:space="preserve"> </w:t>
      </w:r>
    </w:p>
    <w:p w14:paraId="7A536050" w14:textId="77777777" w:rsidR="00430D49" w:rsidRDefault="00080BF1">
      <w:pPr>
        <w:tabs>
          <w:tab w:val="center" w:pos="3381"/>
          <w:tab w:val="center" w:pos="5666"/>
          <w:tab w:val="center" w:pos="6927"/>
          <w:tab w:val="center" w:pos="7504"/>
        </w:tabs>
        <w:spacing w:after="0" w:line="259" w:lineRule="auto"/>
        <w:ind w:left="0" w:firstLine="0"/>
      </w:pPr>
      <w:r>
        <w:rPr>
          <w:sz w:val="22"/>
        </w:rPr>
        <w:tab/>
      </w:r>
      <w:r>
        <w:rPr>
          <w:b/>
          <w:color w:val="C00000"/>
          <w:sz w:val="36"/>
        </w:rPr>
        <w:t xml:space="preserve">CENGR </w:t>
      </w:r>
      <w:proofErr w:type="gramStart"/>
      <w:r>
        <w:rPr>
          <w:b/>
          <w:color w:val="C00000"/>
          <w:sz w:val="36"/>
        </w:rPr>
        <w:t>-</w:t>
      </w:r>
      <w:r>
        <w:rPr>
          <w:rFonts w:ascii="Arial" w:eastAsia="Arial" w:hAnsi="Arial" w:cs="Arial"/>
          <w:color w:val="C00000"/>
          <w:sz w:val="36"/>
        </w:rPr>
        <w:t xml:space="preserve"> </w:t>
      </w:r>
      <w:r>
        <w:rPr>
          <w:b/>
          <w:color w:val="C00000"/>
          <w:sz w:val="36"/>
        </w:rPr>
        <w:t xml:space="preserve"> Request</w:t>
      </w:r>
      <w:proofErr w:type="gramEnd"/>
      <w:r>
        <w:rPr>
          <w:b/>
          <w:color w:val="C00000"/>
          <w:sz w:val="36"/>
        </w:rPr>
        <w:t xml:space="preserve"> for</w:t>
      </w:r>
      <w:r>
        <w:rPr>
          <w:rFonts w:ascii="Arial" w:eastAsia="Arial" w:hAnsi="Arial" w:cs="Arial"/>
          <w:color w:val="C00000"/>
          <w:sz w:val="36"/>
        </w:rPr>
        <w:t xml:space="preserve"> </w:t>
      </w:r>
      <w:r>
        <w:rPr>
          <w:rFonts w:ascii="Arial" w:eastAsia="Arial" w:hAnsi="Arial" w:cs="Arial"/>
          <w:color w:val="C00000"/>
          <w:sz w:val="36"/>
        </w:rPr>
        <w:tab/>
      </w:r>
      <w:r>
        <w:rPr>
          <w:b/>
          <w:color w:val="C00000"/>
          <w:sz w:val="36"/>
        </w:rPr>
        <w:t>Research</w:t>
      </w:r>
      <w:r>
        <w:rPr>
          <w:rFonts w:ascii="Arial" w:eastAsia="Arial" w:hAnsi="Arial" w:cs="Arial"/>
          <w:color w:val="C00000"/>
          <w:sz w:val="36"/>
        </w:rPr>
        <w:t xml:space="preserve"> </w:t>
      </w:r>
      <w:r>
        <w:rPr>
          <w:rFonts w:ascii="Arial" w:eastAsia="Arial" w:hAnsi="Arial" w:cs="Arial"/>
          <w:color w:val="C00000"/>
          <w:sz w:val="36"/>
        </w:rPr>
        <w:tab/>
      </w:r>
      <w:r>
        <w:rPr>
          <w:b/>
          <w:color w:val="C00000"/>
          <w:sz w:val="36"/>
        </w:rPr>
        <w:t xml:space="preserve"> Buyout</w:t>
      </w:r>
      <w:r>
        <w:rPr>
          <w:rFonts w:ascii="Arial" w:eastAsia="Arial" w:hAnsi="Arial" w:cs="Arial"/>
          <w:color w:val="C00000"/>
          <w:sz w:val="36"/>
        </w:rPr>
        <w:t xml:space="preserve"> </w:t>
      </w:r>
      <w:r>
        <w:rPr>
          <w:rFonts w:ascii="Arial" w:eastAsia="Arial" w:hAnsi="Arial" w:cs="Arial"/>
          <w:color w:val="C00000"/>
          <w:sz w:val="36"/>
        </w:rPr>
        <w:tab/>
      </w:r>
      <w:r>
        <w:rPr>
          <w:b/>
          <w:color w:val="C00000"/>
          <w:sz w:val="36"/>
        </w:rPr>
        <w:t xml:space="preserve"> </w:t>
      </w:r>
    </w:p>
    <w:p w14:paraId="6BA2D312" w14:textId="77777777" w:rsidR="00430D49" w:rsidRDefault="00080BF1">
      <w:pPr>
        <w:spacing w:after="0" w:line="259" w:lineRule="auto"/>
        <w:ind w:left="56" w:firstLine="0"/>
        <w:jc w:val="center"/>
      </w:pPr>
      <w:r>
        <w:t xml:space="preserve"> </w:t>
      </w:r>
    </w:p>
    <w:p w14:paraId="72FD9072" w14:textId="74322DDA" w:rsidR="00A64147" w:rsidRPr="00F22880" w:rsidRDefault="00F22880">
      <w:pPr>
        <w:ind w:left="-4" w:right="1"/>
        <w:rPr>
          <w:b/>
          <w:bCs/>
        </w:rPr>
      </w:pPr>
      <w:r w:rsidRPr="00F22880">
        <w:rPr>
          <w:b/>
          <w:bCs/>
        </w:rPr>
        <w:t>This form is for use only within the College of Engineering and should be submitted to the Engineering Business Office</w:t>
      </w:r>
      <w:r w:rsidRPr="00F22880">
        <w:rPr>
          <w:b/>
          <w:bCs/>
        </w:rPr>
        <w:t>.</w:t>
      </w:r>
    </w:p>
    <w:p w14:paraId="7A8E1BEE" w14:textId="77777777" w:rsidR="00F22880" w:rsidRDefault="00F22880">
      <w:pPr>
        <w:ind w:left="-4" w:right="1"/>
      </w:pPr>
    </w:p>
    <w:p w14:paraId="78DB01A2" w14:textId="77777777" w:rsidR="00993D59" w:rsidRDefault="00993D59" w:rsidP="00993D59">
      <w:pPr>
        <w:rPr>
          <w:rFonts w:ascii="Aptos" w:eastAsiaTheme="minorHAnsi" w:hAnsi="Aptos"/>
          <w:color w:val="auto"/>
          <w:szCs w:val="24"/>
        </w:rPr>
      </w:pPr>
      <w:r>
        <w:rPr>
          <w:rFonts w:ascii="Aptos" w:hAnsi="Aptos"/>
          <w:szCs w:val="24"/>
        </w:rPr>
        <w:t>The College of Engineering allows faculty to request release from research responsibilities through a research buyout. If the funding source used for the buyout includes benefit costs, the salary charged to that source will also include the associated fringe benefits.</w:t>
      </w:r>
    </w:p>
    <w:p w14:paraId="04DAA8DA" w14:textId="77777777" w:rsidR="00993D59" w:rsidRDefault="00993D59" w:rsidP="00993D59">
      <w:pPr>
        <w:rPr>
          <w:rFonts w:ascii="Aptos" w:hAnsi="Aptos"/>
          <w:szCs w:val="24"/>
        </w:rPr>
      </w:pPr>
    </w:p>
    <w:p w14:paraId="538C768E" w14:textId="77777777" w:rsidR="00993D59" w:rsidRDefault="00993D59" w:rsidP="00993D59">
      <w:pPr>
        <w:rPr>
          <w:rFonts w:ascii="Aptos" w:hAnsi="Aptos"/>
          <w:szCs w:val="24"/>
        </w:rPr>
      </w:pPr>
      <w:r>
        <w:rPr>
          <w:rFonts w:ascii="Aptos" w:hAnsi="Aptos"/>
          <w:szCs w:val="24"/>
        </w:rPr>
        <w:t>Salary savings resulting from a buyout will be distributed as state or tuition funds, with 80% designated for the faculty member and 20% allocated to the College of Engineering. Unspent faculty funds at the end of the fiscal year may carry forward, with 90% of the remaining balance eligible to be carried into the subsequent fiscal year. Carryforward may continue in subsequent fiscal years, subject to availability of funds and college policies in effect at that time.</w:t>
      </w:r>
    </w:p>
    <w:p w14:paraId="4EAD0ABD" w14:textId="77777777" w:rsidR="00993D59" w:rsidRDefault="00993D59" w:rsidP="00993D59">
      <w:pPr>
        <w:rPr>
          <w:rFonts w:ascii="Aptos" w:hAnsi="Aptos"/>
          <w:szCs w:val="24"/>
        </w:rPr>
      </w:pPr>
    </w:p>
    <w:p w14:paraId="5F81D6BD" w14:textId="77777777" w:rsidR="00993D59" w:rsidRDefault="00993D59" w:rsidP="00993D59">
      <w:pPr>
        <w:rPr>
          <w:rFonts w:ascii="Aptos" w:hAnsi="Aptos"/>
          <w:szCs w:val="24"/>
        </w:rPr>
      </w:pPr>
      <w:r>
        <w:rPr>
          <w:rFonts w:ascii="Aptos" w:hAnsi="Aptos"/>
          <w:szCs w:val="24"/>
        </w:rPr>
        <w:t>Faculty members are encouraged to communicate, at the beginning of each fiscal year, their general intentions for the use of buyout-returned funds. This planning is intended to support effective budgeting and is understood to remain flexible, as circumstances and needs may evolve during the year.</w:t>
      </w:r>
    </w:p>
    <w:p w14:paraId="6A035C1C" w14:textId="3C7634E0" w:rsidR="00430D49" w:rsidRDefault="00080BF1">
      <w:pPr>
        <w:ind w:left="-4" w:right="1"/>
      </w:pPr>
      <w:r>
        <w:t xml:space="preserve">____________________________________________________________________________ </w:t>
      </w:r>
    </w:p>
    <w:p w14:paraId="1DF19F20" w14:textId="77777777" w:rsidR="00430D49" w:rsidRDefault="00080BF1">
      <w:pPr>
        <w:spacing w:after="0" w:line="259" w:lineRule="auto"/>
        <w:ind w:left="1" w:firstLine="0"/>
      </w:pPr>
      <w:r>
        <w:t xml:space="preserve"> </w:t>
      </w:r>
    </w:p>
    <w:p w14:paraId="59725941" w14:textId="77777777" w:rsidR="00430D49" w:rsidRDefault="00080BF1">
      <w:pPr>
        <w:ind w:left="-4" w:right="1"/>
      </w:pPr>
      <w:r>
        <w:t xml:space="preserve">Request submission date: </w:t>
      </w:r>
    </w:p>
    <w:p w14:paraId="12D6E929" w14:textId="77777777" w:rsidR="00430D49" w:rsidRDefault="00080BF1">
      <w:pPr>
        <w:spacing w:after="0" w:line="259" w:lineRule="auto"/>
        <w:ind w:left="1" w:firstLine="0"/>
      </w:pPr>
      <w:r>
        <w:t xml:space="preserve"> </w:t>
      </w:r>
    </w:p>
    <w:p w14:paraId="59BB7580" w14:textId="77777777" w:rsidR="00430D49" w:rsidRDefault="00080BF1">
      <w:pPr>
        <w:ind w:left="-4" w:right="1"/>
      </w:pPr>
      <w:r>
        <w:t xml:space="preserve">Faculty Name: </w:t>
      </w:r>
    </w:p>
    <w:p w14:paraId="0797A4C4" w14:textId="77777777" w:rsidR="00430D49" w:rsidRDefault="00080BF1">
      <w:pPr>
        <w:spacing w:after="0" w:line="259" w:lineRule="auto"/>
        <w:ind w:left="1" w:firstLine="0"/>
      </w:pPr>
      <w:r>
        <w:t xml:space="preserve"> </w:t>
      </w:r>
    </w:p>
    <w:p w14:paraId="5F98B0F1" w14:textId="77777777" w:rsidR="00430D49" w:rsidRDefault="00080BF1">
      <w:pPr>
        <w:ind w:left="-4" w:right="1"/>
      </w:pPr>
      <w:r>
        <w:t xml:space="preserve">Faculty Rank: </w:t>
      </w:r>
    </w:p>
    <w:p w14:paraId="7FC90129" w14:textId="77777777" w:rsidR="00430D49" w:rsidRDefault="00080BF1">
      <w:pPr>
        <w:spacing w:after="0" w:line="259" w:lineRule="auto"/>
        <w:ind w:left="1" w:firstLine="0"/>
      </w:pPr>
      <w:r>
        <w:t xml:space="preserve"> </w:t>
      </w:r>
    </w:p>
    <w:p w14:paraId="5D3E8C83" w14:textId="77777777" w:rsidR="00430D49" w:rsidRDefault="00080BF1">
      <w:pPr>
        <w:ind w:left="-4" w:right="1"/>
      </w:pPr>
      <w:r>
        <w:t xml:space="preserve">School: </w:t>
      </w:r>
    </w:p>
    <w:p w14:paraId="43A158ED" w14:textId="77777777" w:rsidR="00430D49" w:rsidRDefault="00080BF1">
      <w:pPr>
        <w:spacing w:after="0" w:line="259" w:lineRule="auto"/>
        <w:ind w:left="1" w:firstLine="0"/>
      </w:pPr>
      <w:r>
        <w:t xml:space="preserve"> </w:t>
      </w:r>
    </w:p>
    <w:p w14:paraId="1FDD660C" w14:textId="77777777" w:rsidR="00430D49" w:rsidRDefault="00080BF1">
      <w:pPr>
        <w:ind w:left="-4" w:right="1"/>
      </w:pPr>
      <w:r>
        <w:t xml:space="preserve">Effective Date of Buyout: </w:t>
      </w:r>
    </w:p>
    <w:p w14:paraId="0BA0AE0F" w14:textId="77777777" w:rsidR="00430D49" w:rsidRDefault="00080BF1">
      <w:pPr>
        <w:spacing w:after="0" w:line="259" w:lineRule="auto"/>
        <w:ind w:left="1" w:firstLine="0"/>
      </w:pPr>
      <w:r>
        <w:t xml:space="preserve"> </w:t>
      </w:r>
    </w:p>
    <w:p w14:paraId="2E4224CE" w14:textId="77777777" w:rsidR="00430D49" w:rsidRDefault="00080BF1">
      <w:pPr>
        <w:ind w:left="-4" w:right="1"/>
      </w:pPr>
      <w:r>
        <w:t xml:space="preserve">Justification for Research Release: </w:t>
      </w:r>
    </w:p>
    <w:p w14:paraId="78AFE7F7" w14:textId="13526E2B" w:rsidR="00430D49" w:rsidRDefault="00080BF1">
      <w:pPr>
        <w:spacing w:after="0" w:line="259" w:lineRule="auto"/>
        <w:ind w:left="1" w:firstLine="0"/>
      </w:pPr>
      <w:r>
        <w:t xml:space="preserve">  </w:t>
      </w:r>
    </w:p>
    <w:p w14:paraId="6260CDF7" w14:textId="779BCCB0" w:rsidR="00430D49" w:rsidRDefault="00080BF1" w:rsidP="00DC26D2">
      <w:pPr>
        <w:spacing w:after="0" w:line="259" w:lineRule="auto"/>
      </w:pPr>
      <w:r>
        <w:t xml:space="preserve">Financial Details: </w:t>
      </w:r>
    </w:p>
    <w:p w14:paraId="72A94D2B" w14:textId="77777777" w:rsidR="00DC26D2" w:rsidRDefault="00080BF1" w:rsidP="00DC26D2">
      <w:pPr>
        <w:spacing w:after="0" w:line="259" w:lineRule="auto"/>
        <w:ind w:left="1" w:firstLine="0"/>
      </w:pPr>
      <w:r>
        <w:t xml:space="preserve">  </w:t>
      </w:r>
      <w:r>
        <w:tab/>
      </w:r>
    </w:p>
    <w:p w14:paraId="0D7BB8CA" w14:textId="2F087626" w:rsidR="00430D49" w:rsidRDefault="00080BF1" w:rsidP="00DC26D2">
      <w:pPr>
        <w:spacing w:after="0" w:line="259" w:lineRule="auto"/>
        <w:ind w:left="1" w:firstLine="0"/>
      </w:pPr>
      <w:r>
        <w:t xml:space="preserve">Amount of salary being bought out (excluding benefits):  $ </w:t>
      </w:r>
    </w:p>
    <w:p w14:paraId="5E6CD547" w14:textId="77777777" w:rsidR="00430D49" w:rsidRDefault="00080BF1">
      <w:pPr>
        <w:spacing w:after="0" w:line="259" w:lineRule="auto"/>
        <w:ind w:left="1" w:firstLine="0"/>
      </w:pPr>
      <w:r>
        <w:t xml:space="preserve"> </w:t>
      </w:r>
    </w:p>
    <w:p w14:paraId="30016618" w14:textId="4C3BA9C4" w:rsidR="00A64147" w:rsidRDefault="00080BF1" w:rsidP="00DC26D2">
      <w:pPr>
        <w:tabs>
          <w:tab w:val="center" w:pos="2702"/>
        </w:tabs>
        <w:ind w:left="-14" w:firstLine="0"/>
      </w:pPr>
      <w:r>
        <w:t xml:space="preserve"> </w:t>
      </w:r>
      <w:r>
        <w:tab/>
        <w:t xml:space="preserve">Speedtype of project supporting buyout: </w:t>
      </w:r>
    </w:p>
    <w:p w14:paraId="27ECAAEE" w14:textId="77777777" w:rsidR="00DC26D2" w:rsidRDefault="00DC26D2" w:rsidP="00DC26D2">
      <w:pPr>
        <w:tabs>
          <w:tab w:val="center" w:pos="2702"/>
        </w:tabs>
        <w:ind w:left="-14" w:firstLine="0"/>
      </w:pPr>
    </w:p>
    <w:p w14:paraId="30CE4965" w14:textId="77777777" w:rsidR="00A64147" w:rsidRDefault="00A64147">
      <w:pPr>
        <w:tabs>
          <w:tab w:val="center" w:pos="1441"/>
          <w:tab w:val="center" w:pos="2161"/>
          <w:tab w:val="center" w:pos="2882"/>
          <w:tab w:val="center" w:pos="3602"/>
          <w:tab w:val="center" w:pos="4322"/>
          <w:tab w:val="center" w:pos="5274"/>
        </w:tabs>
        <w:ind w:left="-14" w:firstLine="0"/>
      </w:pPr>
    </w:p>
    <w:p w14:paraId="2FC4F914" w14:textId="696C2D07" w:rsidR="00430D49" w:rsidRDefault="00080BF1">
      <w:pPr>
        <w:tabs>
          <w:tab w:val="center" w:pos="1441"/>
          <w:tab w:val="center" w:pos="2161"/>
          <w:tab w:val="center" w:pos="2882"/>
          <w:tab w:val="center" w:pos="3602"/>
          <w:tab w:val="center" w:pos="4322"/>
          <w:tab w:val="center" w:pos="5274"/>
        </w:tabs>
        <w:ind w:left="-14" w:firstLine="0"/>
      </w:pPr>
      <w:r>
        <w:t xml:space="preserve">Signature </w:t>
      </w:r>
      <w:r>
        <w:tab/>
        <w:t xml:space="preserve"> </w:t>
      </w:r>
      <w:r>
        <w:tab/>
        <w:t xml:space="preserve"> </w:t>
      </w:r>
      <w:r>
        <w:tab/>
        <w:t xml:space="preserve"> </w:t>
      </w:r>
      <w:r>
        <w:tab/>
        <w:t xml:space="preserve"> </w:t>
      </w:r>
      <w:r>
        <w:tab/>
        <w:t xml:space="preserve"> </w:t>
      </w:r>
      <w:r>
        <w:tab/>
        <w:t xml:space="preserve">Date </w:t>
      </w:r>
    </w:p>
    <w:p w14:paraId="32944C28" w14:textId="77777777" w:rsidR="00430D49" w:rsidRDefault="00080BF1">
      <w:pPr>
        <w:spacing w:after="0" w:line="259" w:lineRule="auto"/>
        <w:ind w:left="1" w:firstLine="0"/>
      </w:pPr>
      <w:r>
        <w:t xml:space="preserve"> </w:t>
      </w:r>
    </w:p>
    <w:p w14:paraId="63E3A3F2" w14:textId="77777777" w:rsidR="00430D49" w:rsidRDefault="00080BF1">
      <w:pPr>
        <w:spacing w:after="0" w:line="259" w:lineRule="auto"/>
        <w:ind w:left="10" w:right="-15"/>
        <w:jc w:val="right"/>
      </w:pPr>
      <w:r>
        <w:t xml:space="preserve">1 </w:t>
      </w:r>
    </w:p>
    <w:p w14:paraId="2F156AB5" w14:textId="77777777" w:rsidR="00430D49" w:rsidRDefault="00080BF1">
      <w:pPr>
        <w:spacing w:after="0" w:line="259" w:lineRule="auto"/>
        <w:ind w:left="1" w:firstLine="0"/>
      </w:pPr>
      <w:r>
        <w:lastRenderedPageBreak/>
        <w:t xml:space="preserve"> </w:t>
      </w:r>
    </w:p>
    <w:p w14:paraId="63AB7BE4" w14:textId="77777777" w:rsidR="00430D49" w:rsidRDefault="00080BF1">
      <w:pPr>
        <w:spacing w:after="0" w:line="259" w:lineRule="auto"/>
        <w:ind w:left="53" w:firstLine="0"/>
        <w:jc w:val="center"/>
      </w:pPr>
      <w:r>
        <w:rPr>
          <w:noProof/>
        </w:rPr>
        <w:drawing>
          <wp:inline distT="0" distB="0" distL="0" distR="0" wp14:anchorId="58188035" wp14:editId="3EFB567B">
            <wp:extent cx="2708021" cy="69786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4"/>
                    <a:stretch>
                      <a:fillRect/>
                    </a:stretch>
                  </pic:blipFill>
                  <pic:spPr>
                    <a:xfrm>
                      <a:off x="0" y="0"/>
                      <a:ext cx="2708021" cy="697865"/>
                    </a:xfrm>
                    <a:prstGeom prst="rect">
                      <a:avLst/>
                    </a:prstGeom>
                  </pic:spPr>
                </pic:pic>
              </a:graphicData>
            </a:graphic>
          </wp:inline>
        </w:drawing>
      </w:r>
      <w:r>
        <w:t xml:space="preserve"> </w:t>
      </w:r>
    </w:p>
    <w:p w14:paraId="44BCC760" w14:textId="77777777" w:rsidR="00430D49" w:rsidRDefault="00080BF1">
      <w:pPr>
        <w:ind w:left="731" w:right="1"/>
      </w:pPr>
      <w:r>
        <w:t xml:space="preserve">Cost: </w:t>
      </w:r>
    </w:p>
    <w:p w14:paraId="193976C8" w14:textId="77777777" w:rsidR="00430D49" w:rsidRDefault="00080BF1">
      <w:pPr>
        <w:spacing w:after="0" w:line="259" w:lineRule="auto"/>
        <w:ind w:left="721" w:firstLine="0"/>
      </w:pPr>
      <w:r>
        <w:t xml:space="preserve"> </w:t>
      </w:r>
    </w:p>
    <w:p w14:paraId="4C8EA661" w14:textId="77777777" w:rsidR="00430D49" w:rsidRDefault="00080BF1">
      <w:pPr>
        <w:ind w:left="731" w:right="1"/>
      </w:pPr>
      <w:r>
        <w:t xml:space="preserve">Speedtype: </w:t>
      </w:r>
    </w:p>
    <w:p w14:paraId="1791BB45" w14:textId="77777777" w:rsidR="00430D49" w:rsidRDefault="00080BF1">
      <w:pPr>
        <w:spacing w:after="255" w:line="259" w:lineRule="auto"/>
        <w:ind w:left="721" w:firstLine="0"/>
      </w:pPr>
      <w:r>
        <w:t xml:space="preserve"> </w:t>
      </w:r>
    </w:p>
    <w:p w14:paraId="4CCA0C59" w14:textId="77777777" w:rsidR="00430D49" w:rsidRDefault="00080BF1">
      <w:pPr>
        <w:pBdr>
          <w:top w:val="single" w:sz="4" w:space="0" w:color="000000"/>
          <w:left w:val="single" w:sz="4" w:space="0" w:color="000000"/>
          <w:bottom w:val="single" w:sz="4" w:space="0" w:color="000000"/>
          <w:right w:val="single" w:sz="4" w:space="0" w:color="000000"/>
        </w:pBdr>
        <w:spacing w:after="0" w:line="259" w:lineRule="auto"/>
        <w:ind w:left="150" w:firstLine="0"/>
      </w:pPr>
      <w:r>
        <w:t xml:space="preserve">To be completed by the Office of Finance and Administration: </w:t>
      </w:r>
    </w:p>
    <w:p w14:paraId="7E489AB4" w14:textId="77777777" w:rsidR="00430D49" w:rsidRDefault="00080BF1">
      <w:pPr>
        <w:pBdr>
          <w:top w:val="single" w:sz="4" w:space="0" w:color="000000"/>
          <w:left w:val="single" w:sz="4" w:space="0" w:color="000000"/>
          <w:bottom w:val="single" w:sz="4" w:space="0" w:color="000000"/>
          <w:right w:val="single" w:sz="4" w:space="0" w:color="000000"/>
        </w:pBdr>
        <w:spacing w:after="0" w:line="259" w:lineRule="auto"/>
        <w:ind w:left="150" w:firstLine="0"/>
      </w:pPr>
      <w:r>
        <w:t xml:space="preserve"> </w:t>
      </w:r>
    </w:p>
    <w:p w14:paraId="0E775636" w14:textId="342F196D" w:rsidR="00430D49" w:rsidRDefault="00430D49" w:rsidP="00EB6FF0">
      <w:pPr>
        <w:pBdr>
          <w:top w:val="single" w:sz="4" w:space="0" w:color="000000"/>
          <w:left w:val="single" w:sz="4" w:space="0" w:color="000000"/>
          <w:bottom w:val="single" w:sz="4" w:space="0" w:color="000000"/>
          <w:right w:val="single" w:sz="4" w:space="0" w:color="000000"/>
        </w:pBdr>
        <w:spacing w:after="2043" w:line="259" w:lineRule="auto"/>
        <w:ind w:left="150" w:firstLine="0"/>
      </w:pPr>
    </w:p>
    <w:p w14:paraId="13331FCD" w14:textId="77777777" w:rsidR="00430D49" w:rsidRDefault="00080BF1">
      <w:pPr>
        <w:spacing w:after="55" w:line="259" w:lineRule="auto"/>
        <w:ind w:left="-28" w:right="-29" w:firstLine="0"/>
      </w:pPr>
      <w:r>
        <w:rPr>
          <w:noProof/>
          <w:sz w:val="22"/>
        </w:rPr>
        <mc:AlternateContent>
          <mc:Choice Requires="wpg">
            <w:drawing>
              <wp:inline distT="0" distB="0" distL="0" distR="0" wp14:anchorId="4B3195BC" wp14:editId="484A1A19">
                <wp:extent cx="5981065" cy="18288"/>
                <wp:effectExtent l="0" t="0" r="0" b="0"/>
                <wp:docPr id="1280" name="Group 128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871" name="Shape 187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0" style="width:470.95pt;height:1.44pt;mso-position-horizontal-relative:char;mso-position-vertical-relative:line" coordsize="59810,182">
                <v:shape id="Shape 1872"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2B57A835" w14:textId="77777777" w:rsidR="00430D49" w:rsidRDefault="00080BF1">
      <w:pPr>
        <w:spacing w:after="0" w:line="259" w:lineRule="auto"/>
        <w:ind w:left="-4"/>
      </w:pPr>
      <w:r>
        <w:rPr>
          <w:b/>
        </w:rPr>
        <w:t xml:space="preserve">Approvals: </w:t>
      </w:r>
    </w:p>
    <w:p w14:paraId="5CDCBD96" w14:textId="77777777" w:rsidR="00430D49" w:rsidRDefault="00080BF1">
      <w:pPr>
        <w:spacing w:after="24" w:line="259" w:lineRule="auto"/>
        <w:ind w:left="1" w:firstLine="0"/>
      </w:pPr>
      <w:r>
        <w:t xml:space="preserve"> </w:t>
      </w:r>
    </w:p>
    <w:p w14:paraId="1B621682" w14:textId="77777777" w:rsidR="00430D49" w:rsidRDefault="00080BF1">
      <w:pPr>
        <w:tabs>
          <w:tab w:val="center" w:pos="1441"/>
          <w:tab w:val="center" w:pos="2161"/>
          <w:tab w:val="center" w:pos="2882"/>
          <w:tab w:val="center" w:pos="3602"/>
          <w:tab w:val="center" w:pos="4322"/>
          <w:tab w:val="center" w:pos="5042"/>
          <w:tab w:val="center" w:pos="6251"/>
        </w:tabs>
        <w:spacing w:after="57"/>
        <w:ind w:left="-14" w:firstLine="0"/>
      </w:pPr>
      <w:r>
        <w:t xml:space="preserve">School Chair </w:t>
      </w:r>
      <w:r>
        <w:tab/>
        <w:t xml:space="preserve"> </w:t>
      </w:r>
      <w:r>
        <w:tab/>
        <w:t xml:space="preserve"> </w:t>
      </w:r>
      <w:r>
        <w:tab/>
        <w:t xml:space="preserve"> </w:t>
      </w:r>
      <w:r>
        <w:tab/>
        <w:t xml:space="preserve"> </w:t>
      </w:r>
      <w:r>
        <w:tab/>
        <w:t xml:space="preserve"> </w:t>
      </w:r>
      <w:r>
        <w:tab/>
        <w:t xml:space="preserve"> </w:t>
      </w:r>
      <w:r>
        <w:tab/>
        <w:t xml:space="preserve">Date </w:t>
      </w:r>
    </w:p>
    <w:p w14:paraId="1D064C1A" w14:textId="77777777" w:rsidR="00430D49" w:rsidRDefault="00080BF1">
      <w:pPr>
        <w:spacing w:after="33" w:line="259" w:lineRule="auto"/>
        <w:ind w:left="1" w:firstLine="0"/>
      </w:pPr>
      <w:r>
        <w:t xml:space="preserve"> </w:t>
      </w:r>
    </w:p>
    <w:p w14:paraId="15A230E1" w14:textId="77777777" w:rsidR="00430D49" w:rsidRDefault="00080BF1">
      <w:pPr>
        <w:tabs>
          <w:tab w:val="center" w:pos="1441"/>
          <w:tab w:val="center" w:pos="2161"/>
          <w:tab w:val="center" w:pos="2882"/>
          <w:tab w:val="center" w:pos="3602"/>
          <w:tab w:val="center" w:pos="4322"/>
          <w:tab w:val="center" w:pos="5042"/>
          <w:tab w:val="center" w:pos="6251"/>
        </w:tabs>
        <w:spacing w:after="49"/>
        <w:ind w:left="-14" w:firstLine="0"/>
      </w:pPr>
      <w:proofErr w:type="gramStart"/>
      <w:r>
        <w:t xml:space="preserve">Dean  </w:t>
      </w:r>
      <w:r>
        <w:tab/>
      </w:r>
      <w:proofErr w:type="gramEnd"/>
      <w:r>
        <w:t xml:space="preserve"> </w:t>
      </w:r>
      <w:r>
        <w:tab/>
        <w:t xml:space="preserve"> </w:t>
      </w:r>
      <w:r>
        <w:tab/>
        <w:t xml:space="preserve"> </w:t>
      </w:r>
      <w:r>
        <w:tab/>
        <w:t xml:space="preserve"> </w:t>
      </w:r>
      <w:r>
        <w:tab/>
        <w:t xml:space="preserve"> </w:t>
      </w:r>
      <w:r>
        <w:tab/>
        <w:t xml:space="preserve"> </w:t>
      </w:r>
      <w:r>
        <w:tab/>
        <w:t xml:space="preserve">Date </w:t>
      </w:r>
    </w:p>
    <w:p w14:paraId="0A39DA65" w14:textId="77777777" w:rsidR="00430D49" w:rsidRDefault="00080BF1">
      <w:pPr>
        <w:spacing w:after="0" w:line="259" w:lineRule="auto"/>
        <w:ind w:left="1" w:firstLine="0"/>
      </w:pPr>
      <w:r>
        <w:t xml:space="preserve"> </w:t>
      </w:r>
    </w:p>
    <w:p w14:paraId="223A269E" w14:textId="27FA30AF" w:rsidR="00430D49" w:rsidRDefault="00430D49" w:rsidP="00EB6FF0">
      <w:pPr>
        <w:spacing w:after="0" w:line="259" w:lineRule="auto"/>
        <w:ind w:left="1" w:firstLine="0"/>
      </w:pPr>
    </w:p>
    <w:sectPr w:rsidR="00430D49" w:rsidSect="00DC26D2">
      <w:pgSz w:w="12240" w:h="15840"/>
      <w:pgMar w:top="432" w:right="1440" w:bottom="4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49"/>
    <w:rsid w:val="00080BF1"/>
    <w:rsid w:val="00430D49"/>
    <w:rsid w:val="00945A50"/>
    <w:rsid w:val="009832A5"/>
    <w:rsid w:val="00993D59"/>
    <w:rsid w:val="009B0F70"/>
    <w:rsid w:val="00A64147"/>
    <w:rsid w:val="00DC26D2"/>
    <w:rsid w:val="00EB6FF0"/>
    <w:rsid w:val="00F2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2561"/>
  <w15:docId w15:val="{1A30AFE4-BEC1-4B39-ACA6-AC233EB5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1"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0984">
      <w:bodyDiv w:val="1"/>
      <w:marLeft w:val="0"/>
      <w:marRight w:val="0"/>
      <w:marTop w:val="0"/>
      <w:marBottom w:val="0"/>
      <w:divBdr>
        <w:top w:val="none" w:sz="0" w:space="0" w:color="auto"/>
        <w:left w:val="none" w:sz="0" w:space="0" w:color="auto"/>
        <w:bottom w:val="none" w:sz="0" w:space="0" w:color="auto"/>
        <w:right w:val="none" w:sz="0" w:space="0" w:color="auto"/>
      </w:divBdr>
    </w:div>
    <w:div w:id="2093968882">
      <w:bodyDiv w:val="1"/>
      <w:marLeft w:val="0"/>
      <w:marRight w:val="0"/>
      <w:marTop w:val="0"/>
      <w:marBottom w:val="0"/>
      <w:divBdr>
        <w:top w:val="none" w:sz="0" w:space="0" w:color="auto"/>
        <w:left w:val="none" w:sz="0" w:space="0" w:color="auto"/>
        <w:bottom w:val="none" w:sz="0" w:space="0" w:color="auto"/>
        <w:right w:val="none" w:sz="0" w:space="0" w:color="auto"/>
      </w:divBdr>
    </w:div>
    <w:div w:id="2140102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Ann Tiller</dc:creator>
  <cp:keywords/>
  <cp:lastModifiedBy>Jarrod Buffington</cp:lastModifiedBy>
  <cp:revision>6</cp:revision>
  <dcterms:created xsi:type="dcterms:W3CDTF">2026-03-17T15:52:00Z</dcterms:created>
  <dcterms:modified xsi:type="dcterms:W3CDTF">2026-03-23T15:45:00Z</dcterms:modified>
</cp:coreProperties>
</file>